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宋体"/>
          <w:sz w:val="24"/>
          <w:szCs w:val="24"/>
          <w:lang w:val="en-US" w:eastAsia="zh-CN"/>
        </w:rPr>
      </w:pPr>
      <w:bookmarkStart w:id="0" w:name="OLE_LINK9"/>
      <w:r>
        <w:rPr>
          <w:rFonts w:ascii="Arial" w:hAnsi="Arial"/>
          <w:b/>
          <w:sz w:val="24"/>
          <w:szCs w:val="24"/>
          <w:lang w:eastAsia="ja-JP"/>
        </w:rPr>
        <w:t>3GPP TSG- SA1 Meeting # 105</w:t>
      </w:r>
      <w:bookmarkEnd w:id="0"/>
      <w:r>
        <w:rPr>
          <w:rFonts w:ascii="Arial" w:hAnsi="Arial"/>
          <w:b/>
          <w:sz w:val="24"/>
          <w:szCs w:val="24"/>
          <w:lang w:eastAsia="ja-JP"/>
        </w:rPr>
        <w:tab/>
      </w:r>
      <w:r>
        <w:rPr>
          <w:rFonts w:ascii="Arial" w:hAnsi="Arial"/>
          <w:b/>
          <w:sz w:val="24"/>
          <w:szCs w:val="24"/>
          <w:lang w:eastAsia="ja-JP"/>
        </w:rPr>
        <w:t>S1-24</w:t>
      </w:r>
      <w:r>
        <w:rPr>
          <w:rFonts w:hint="eastAsia" w:ascii="Arial" w:hAnsi="Arial" w:eastAsia="宋体"/>
          <w:b/>
          <w:sz w:val="24"/>
          <w:szCs w:val="24"/>
          <w:lang w:val="en-US" w:eastAsia="zh-CN"/>
        </w:rPr>
        <w:t>0114</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bookmarkStart w:id="1" w:name="OLE_LINK10"/>
      <w:r>
        <w:rPr>
          <w:rFonts w:ascii="Arial" w:hAnsi="Arial"/>
          <w:b/>
          <w:sz w:val="24"/>
          <w:szCs w:val="24"/>
          <w:lang w:eastAsia="ja-JP"/>
        </w:rPr>
        <w:t>Athens, Greece, 26 Feb - 1 March 2024</w:t>
      </w:r>
      <w:bookmarkEnd w:id="1"/>
      <w:r>
        <w:tab/>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w:t>
      </w:r>
      <w:r>
        <w:rPr>
          <w:rFonts w:ascii="Arial" w:hAnsi="Arial" w:eastAsia="Batang"/>
          <w:b/>
          <w:sz w:val="24"/>
          <w:szCs w:val="24"/>
          <w:lang w:val="en-US" w:eastAsia="zh-CN"/>
        </w:rPr>
        <w:t xml:space="preserve">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w:t>
      </w:r>
      <w:r>
        <w:rPr>
          <w:rFonts w:ascii="Arial" w:hAnsi="Arial" w:eastAsia="Batang" w:cs="Arial"/>
          <w:b/>
          <w:sz w:val="24"/>
          <w:szCs w:val="24"/>
          <w:lang w:eastAsia="zh-CN"/>
        </w:rPr>
        <w:t xml:space="preserve">ID on </w:t>
      </w:r>
      <w:r>
        <w:rPr>
          <w:rFonts w:hint="eastAsia" w:ascii="Arial" w:hAnsi="Arial" w:eastAsia="Batang" w:cs="Arial"/>
          <w:b/>
          <w:color w:val="auto"/>
          <w:sz w:val="24"/>
          <w:szCs w:val="24"/>
          <w:lang w:val="en-US" w:eastAsia="zh-CN"/>
        </w:rPr>
        <w:t>Artificial Intelligence</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enhanced IMS Multimedia Telephony Service</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Times New Roman" w:cs="Times New Roman"/>
          <w:color w:val="auto"/>
          <w:sz w:val="36"/>
          <w:szCs w:val="20"/>
          <w:lang w:val="en-US" w:eastAsia="zh-CN"/>
        </w:rPr>
      </w:pPr>
      <w:r>
        <w:rPr>
          <w:rFonts w:ascii="Arial" w:hAnsi="Arial" w:eastAsia="Times New Roman" w:cs="Times New Roman"/>
          <w:color w:val="auto"/>
          <w:sz w:val="36"/>
          <w:szCs w:val="20"/>
          <w:lang w:eastAsia="ja-JP"/>
        </w:rPr>
        <w:t>Title:</w:t>
      </w:r>
      <w:r>
        <w:rPr>
          <w:rFonts w:hint="eastAsia" w:ascii="Arial" w:hAnsi="Arial" w:eastAsia="Times New Roman" w:cs="Times New Roman"/>
          <w:color w:val="auto"/>
          <w:sz w:val="36"/>
          <w:szCs w:val="20"/>
          <w:lang w:val="en-US" w:eastAsia="zh-CN"/>
        </w:rPr>
        <w:t xml:space="preserve"> </w:t>
      </w:r>
      <w:bookmarkStart w:id="2" w:name="OLE_LINK1"/>
      <w:r>
        <w:rPr>
          <w:rFonts w:hint="eastAsia" w:ascii="Arial" w:hAnsi="Arial" w:eastAsia="Times New Roman" w:cs="Times New Roman"/>
          <w:color w:val="auto"/>
          <w:sz w:val="36"/>
          <w:szCs w:val="20"/>
          <w:lang w:val="en-US" w:eastAsia="zh-CN"/>
        </w:rPr>
        <w:t xml:space="preserve">Study on </w:t>
      </w:r>
      <w:bookmarkStart w:id="3" w:name="OLE_LINK4"/>
      <w:r>
        <w:rPr>
          <w:rFonts w:hint="eastAsia" w:ascii="Arial" w:hAnsi="Arial" w:eastAsia="Times New Roman" w:cs="Times New Roman"/>
          <w:color w:val="auto"/>
          <w:sz w:val="36"/>
          <w:szCs w:val="20"/>
          <w:lang w:val="en-US" w:eastAsia="zh-CN"/>
        </w:rPr>
        <w:t>Artificial Intelligence</w:t>
      </w:r>
      <w:bookmarkEnd w:id="3"/>
      <w:r>
        <w:rPr>
          <w:rFonts w:hint="eastAsia" w:ascii="Arial" w:hAnsi="Arial" w:eastAsia="Times New Roman" w:cs="Times New Roman"/>
          <w:color w:val="auto"/>
          <w:sz w:val="36"/>
          <w:szCs w:val="20"/>
          <w:lang w:val="en-US" w:eastAsia="zh-CN"/>
        </w:rPr>
        <w:t xml:space="preserve"> </w:t>
      </w:r>
      <w:bookmarkStart w:id="4" w:name="OLE_LINK3"/>
      <w:r>
        <w:rPr>
          <w:rFonts w:hint="eastAsia" w:ascii="Arial" w:hAnsi="Arial" w:eastAsia="Times New Roman" w:cs="Times New Roman"/>
          <w:color w:val="auto"/>
          <w:sz w:val="36"/>
          <w:szCs w:val="20"/>
          <w:lang w:val="en-US" w:eastAsia="zh-CN"/>
        </w:rPr>
        <w:t xml:space="preserve">enhanced </w:t>
      </w:r>
      <w:bookmarkEnd w:id="4"/>
      <w:r>
        <w:rPr>
          <w:rFonts w:hint="eastAsia" w:ascii="Arial" w:hAnsi="Arial" w:eastAsia="Times New Roman" w:cs="Times New Roman"/>
          <w:color w:val="auto"/>
          <w:sz w:val="36"/>
          <w:szCs w:val="20"/>
          <w:lang w:val="en-US" w:eastAsia="zh-CN"/>
        </w:rPr>
        <w:t>IMS Multimedia Telephony Service</w:t>
      </w:r>
      <w:r>
        <w:rPr>
          <w:rFonts w:hint="eastAsia" w:ascii="Arial" w:hAnsi="Arial" w:eastAsia="Times New Roman" w:cs="Times New Roman"/>
          <w:color w:val="auto"/>
          <w:sz w:val="36"/>
          <w:szCs w:val="20"/>
          <w:lang w:val="en-US" w:eastAsia="ja-JP"/>
        </w:rPr>
        <w:tab/>
      </w:r>
      <w:bookmarkEnd w:id="2"/>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FS_AITEL</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pPr>
        <w:pStyle w:val="25"/>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t>Affects:</w:t>
            </w:r>
          </w:p>
        </w:tc>
        <w:tc>
          <w:tcPr>
            <w:tcW w:w="1275" w:type="dxa"/>
            <w:tcBorders>
              <w:left w:val="nil"/>
              <w:bottom w:val="single" w:color="auto" w:sz="12" w:space="0"/>
            </w:tcBorders>
            <w:shd w:val="clear" w:color="auto" w:fill="E0E0E0"/>
          </w:tcPr>
          <w:p>
            <w:pPr>
              <w:pStyle w:val="28"/>
            </w:pPr>
            <w:r>
              <w:t>UICC apps</w:t>
            </w:r>
          </w:p>
        </w:tc>
        <w:tc>
          <w:tcPr>
            <w:tcW w:w="1037" w:type="dxa"/>
            <w:tcBorders>
              <w:bottom w:val="single" w:color="auto" w:sz="12" w:space="0"/>
            </w:tcBorders>
            <w:shd w:val="clear" w:color="auto" w:fill="E0E0E0"/>
          </w:tcPr>
          <w:p>
            <w:pPr>
              <w:pStyle w:val="28"/>
            </w:pPr>
            <w:r>
              <w:t>ME</w:t>
            </w:r>
          </w:p>
        </w:tc>
        <w:tc>
          <w:tcPr>
            <w:tcW w:w="850" w:type="dxa"/>
            <w:tcBorders>
              <w:bottom w:val="single" w:color="auto" w:sz="12" w:space="0"/>
            </w:tcBorders>
            <w:shd w:val="clear" w:color="auto" w:fill="E0E0E0"/>
          </w:tcPr>
          <w:p>
            <w:pPr>
              <w:pStyle w:val="28"/>
            </w:pPr>
            <w:r>
              <w:t>AN</w:t>
            </w:r>
          </w:p>
        </w:tc>
        <w:tc>
          <w:tcPr>
            <w:tcW w:w="851" w:type="dxa"/>
            <w:tcBorders>
              <w:bottom w:val="single" w:color="auto" w:sz="12" w:space="0"/>
            </w:tcBorders>
            <w:shd w:val="clear" w:color="auto" w:fill="E0E0E0"/>
          </w:tcPr>
          <w:p>
            <w:pPr>
              <w:pStyle w:val="28"/>
            </w:pPr>
            <w:r>
              <w:t>CN</w:t>
            </w:r>
          </w:p>
        </w:tc>
        <w:tc>
          <w:tcPr>
            <w:tcW w:w="1752" w:type="dxa"/>
            <w:tcBorders>
              <w:bottom w:val="single" w:color="auto" w:sz="12" w:space="0"/>
            </w:tcBorders>
            <w:shd w:val="clear" w:color="auto" w:fill="E0E0E0"/>
          </w:tcPr>
          <w:p>
            <w:pPr>
              <w:pStyle w:val="28"/>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t>Yes</w:t>
            </w:r>
          </w:p>
        </w:tc>
        <w:tc>
          <w:tcPr>
            <w:tcW w:w="1275" w:type="dxa"/>
            <w:tcBorders>
              <w:top w:val="nil"/>
              <w:left w:val="nil"/>
            </w:tcBorders>
          </w:tcPr>
          <w:p>
            <w:pPr>
              <w:pStyle w:val="29"/>
            </w:pPr>
          </w:p>
        </w:tc>
        <w:tc>
          <w:tcPr>
            <w:tcW w:w="1037" w:type="dxa"/>
            <w:tcBorders>
              <w:top w:val="nil"/>
            </w:tcBorders>
          </w:tcPr>
          <w:p>
            <w:pPr>
              <w:pStyle w:val="29"/>
            </w:pPr>
            <w:r>
              <w:t>X</w:t>
            </w:r>
          </w:p>
        </w:tc>
        <w:tc>
          <w:tcPr>
            <w:tcW w:w="850" w:type="dxa"/>
            <w:tcBorders>
              <w:top w:val="nil"/>
            </w:tcBorders>
          </w:tcPr>
          <w:p>
            <w:pPr>
              <w:pStyle w:val="29"/>
            </w:pPr>
          </w:p>
        </w:tc>
        <w:tc>
          <w:tcPr>
            <w:tcW w:w="851" w:type="dxa"/>
            <w:tcBorders>
              <w:top w:val="nil"/>
            </w:tcBorders>
          </w:tcPr>
          <w:p>
            <w:pPr>
              <w:pStyle w:val="29"/>
            </w:pPr>
            <w:r>
              <w:t>X</w:t>
            </w: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No</w:t>
            </w:r>
          </w:p>
        </w:tc>
        <w:tc>
          <w:tcPr>
            <w:tcW w:w="1275" w:type="dxa"/>
            <w:tcBorders>
              <w:left w:val="nil"/>
            </w:tcBorders>
          </w:tcPr>
          <w:p>
            <w:pPr>
              <w:pStyle w:val="29"/>
            </w:pPr>
          </w:p>
        </w:tc>
        <w:tc>
          <w:tcPr>
            <w:tcW w:w="1037" w:type="dxa"/>
          </w:tcPr>
          <w:p>
            <w:pPr>
              <w:pStyle w:val="29"/>
            </w:pPr>
          </w:p>
        </w:tc>
        <w:tc>
          <w:tcPr>
            <w:tcW w:w="850" w:type="dxa"/>
          </w:tcPr>
          <w:p>
            <w:pPr>
              <w:pStyle w:val="29"/>
            </w:pPr>
          </w:p>
        </w:tc>
        <w:tc>
          <w:tcPr>
            <w:tcW w:w="851" w:type="dxa"/>
          </w:tcPr>
          <w:p>
            <w:pPr>
              <w:pStyle w:val="29"/>
            </w:pPr>
          </w:p>
        </w:tc>
        <w:tc>
          <w:tcPr>
            <w:tcW w:w="1752" w:type="dxa"/>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t>Don't know</w:t>
            </w:r>
          </w:p>
        </w:tc>
        <w:tc>
          <w:tcPr>
            <w:tcW w:w="1275" w:type="dxa"/>
            <w:tcBorders>
              <w:left w:val="nil"/>
            </w:tcBorders>
          </w:tcPr>
          <w:p>
            <w:pPr>
              <w:pStyle w:val="29"/>
            </w:pPr>
            <w:r>
              <w:t>X</w:t>
            </w:r>
          </w:p>
        </w:tc>
        <w:tc>
          <w:tcPr>
            <w:tcW w:w="1037" w:type="dxa"/>
          </w:tcPr>
          <w:p>
            <w:pPr>
              <w:pStyle w:val="29"/>
            </w:pPr>
          </w:p>
        </w:tc>
        <w:tc>
          <w:tcPr>
            <w:tcW w:w="850" w:type="dxa"/>
          </w:tcPr>
          <w:p>
            <w:pPr>
              <w:pStyle w:val="29"/>
            </w:pPr>
            <w:r>
              <w:t>X</w:t>
            </w:r>
          </w:p>
        </w:tc>
        <w:tc>
          <w:tcPr>
            <w:tcW w:w="851" w:type="dxa"/>
          </w:tcPr>
          <w:p>
            <w:pPr>
              <w:pStyle w:val="29"/>
            </w:pPr>
          </w:p>
        </w:tc>
        <w:tc>
          <w:tcPr>
            <w:tcW w:w="1752" w:type="dxa"/>
          </w:tcPr>
          <w:p>
            <w:pPr>
              <w:pStyle w:val="29"/>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r>
              <w:t>X</w:t>
            </w:r>
          </w:p>
        </w:tc>
        <w:tc>
          <w:tcPr>
            <w:tcW w:w="2917" w:type="dxa"/>
            <w:shd w:val="clear" w:color="auto" w:fill="E0E0E0"/>
          </w:tcPr>
          <w:p>
            <w:pPr>
              <w:pStyle w:val="28"/>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ind w:right="-99"/>
              <w:jc w:val="left"/>
            </w:pPr>
            <w:r>
              <w:t>Acronym</w:t>
            </w:r>
          </w:p>
        </w:tc>
        <w:tc>
          <w:tcPr>
            <w:tcW w:w="1101" w:type="dxa"/>
            <w:shd w:val="clear" w:color="auto" w:fill="E0E0E0"/>
          </w:tcPr>
          <w:p>
            <w:pPr>
              <w:pStyle w:val="28"/>
              <w:ind w:right="-99"/>
              <w:jc w:val="left"/>
            </w:pPr>
            <w:r>
              <w:t>Working Group</w:t>
            </w:r>
          </w:p>
        </w:tc>
        <w:tc>
          <w:tcPr>
            <w:tcW w:w="1101" w:type="dxa"/>
            <w:shd w:val="clear" w:color="auto" w:fill="E0E0E0"/>
          </w:tcPr>
          <w:p>
            <w:pPr>
              <w:pStyle w:val="28"/>
              <w:ind w:right="-99"/>
              <w:jc w:val="left"/>
            </w:pPr>
            <w:r>
              <w:t>Unique ID</w:t>
            </w:r>
          </w:p>
        </w:tc>
        <w:tc>
          <w:tcPr>
            <w:tcW w:w="6010" w:type="dxa"/>
            <w:shd w:val="clear" w:color="auto" w:fill="E0E0E0"/>
          </w:tcPr>
          <w:p>
            <w:pPr>
              <w:pStyle w:val="28"/>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pPr>
          </w:p>
        </w:tc>
        <w:tc>
          <w:tcPr>
            <w:tcW w:w="1101" w:type="dxa"/>
          </w:tcPr>
          <w:p>
            <w:pPr>
              <w:pStyle w:val="27"/>
            </w:pPr>
          </w:p>
        </w:tc>
        <w:tc>
          <w:tcPr>
            <w:tcW w:w="1101" w:type="dxa"/>
          </w:tcPr>
          <w:p>
            <w:pPr>
              <w:pStyle w:val="27"/>
            </w:pPr>
          </w:p>
        </w:tc>
        <w:tc>
          <w:tcPr>
            <w:tcW w:w="6010" w:type="dxa"/>
          </w:tcPr>
          <w:p>
            <w:pPr>
              <w:pStyle w:val="27"/>
            </w:pPr>
            <w:r>
              <w:t>N/A</w:t>
            </w:r>
          </w:p>
        </w:tc>
      </w:tr>
    </w:tbl>
    <w:p/>
    <w:p>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t>Unique ID</w:t>
            </w:r>
          </w:p>
        </w:tc>
        <w:tc>
          <w:tcPr>
            <w:tcW w:w="3326" w:type="dxa"/>
            <w:shd w:val="clear" w:color="auto" w:fill="E0E0E0"/>
          </w:tcPr>
          <w:p>
            <w:pPr>
              <w:pStyle w:val="28"/>
            </w:pPr>
            <w:r>
              <w:t>Title</w:t>
            </w:r>
          </w:p>
        </w:tc>
        <w:tc>
          <w:tcPr>
            <w:tcW w:w="5099" w:type="dxa"/>
            <w:shd w:val="clear" w:color="auto" w:fill="E0E0E0"/>
          </w:tcPr>
          <w:p>
            <w:pPr>
              <w:pStyle w:val="28"/>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hint="eastAsia"/>
              </w:rPr>
            </w:pPr>
            <w:r>
              <w:rPr>
                <w:rFonts w:hint="eastAsia"/>
              </w:rPr>
              <w:t>920029</w:t>
            </w:r>
          </w:p>
        </w:tc>
        <w:tc>
          <w:tcPr>
            <w:tcW w:w="3326" w:type="dxa"/>
          </w:tcPr>
          <w:p>
            <w:pPr>
              <w:pStyle w:val="27"/>
              <w:rPr>
                <w:rFonts w:hint="eastAsia"/>
              </w:rPr>
            </w:pPr>
            <w:r>
              <w:rPr>
                <w:rFonts w:hint="eastAsia"/>
              </w:rPr>
              <w:t>Stage 1 of Evolution of IMS Multimedia Telephony Service</w:t>
            </w:r>
          </w:p>
        </w:tc>
        <w:tc>
          <w:tcPr>
            <w:tcW w:w="5099" w:type="dxa"/>
          </w:tcPr>
          <w:p>
            <w:pPr>
              <w:pStyle w:val="27"/>
              <w:rPr>
                <w:rFonts w:hint="eastAsia"/>
              </w:rPr>
            </w:pPr>
            <w:r>
              <w:rPr>
                <w:szCs w:val="18"/>
              </w:rPr>
              <w:t xml:space="preserve">Stage 1 work item of </w:t>
            </w:r>
            <w:r>
              <w:rPr>
                <w:rFonts w:hint="eastAsia"/>
              </w:rPr>
              <w:t>IMS Multimedia Telephony Service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hint="eastAsia"/>
              </w:rPr>
            </w:pPr>
            <w:r>
              <w:rPr>
                <w:rFonts w:hint="eastAsia"/>
              </w:rPr>
              <w:t>850042</w:t>
            </w:r>
          </w:p>
        </w:tc>
        <w:tc>
          <w:tcPr>
            <w:tcW w:w="3326" w:type="dxa"/>
          </w:tcPr>
          <w:p>
            <w:pPr>
              <w:pStyle w:val="27"/>
              <w:rPr>
                <w:rFonts w:hint="eastAsia"/>
              </w:rPr>
            </w:pPr>
            <w:r>
              <w:rPr>
                <w:rFonts w:hint="eastAsia"/>
              </w:rPr>
              <w:t xml:space="preserve">Study on evolution of IMS multimedia telephony service </w:t>
            </w:r>
          </w:p>
        </w:tc>
        <w:tc>
          <w:tcPr>
            <w:tcW w:w="5099" w:type="dxa"/>
          </w:tcPr>
          <w:p>
            <w:pPr>
              <w:pStyle w:val="27"/>
              <w:rPr>
                <w:szCs w:val="18"/>
              </w:rPr>
            </w:pPr>
            <w:r>
              <w:rPr>
                <w:szCs w:val="18"/>
              </w:rPr>
              <w:t xml:space="preserve">Stage 1 </w:t>
            </w:r>
            <w:r>
              <w:rPr>
                <w:rFonts w:hint="eastAsia" w:eastAsia="宋体"/>
                <w:szCs w:val="18"/>
                <w:lang w:val="en-US" w:eastAsia="zh-CN"/>
              </w:rPr>
              <w:t>study</w:t>
            </w:r>
            <w:r>
              <w:rPr>
                <w:szCs w:val="18"/>
              </w:rPr>
              <w:t xml:space="preserve"> item of </w:t>
            </w:r>
            <w:r>
              <w:rPr>
                <w:rFonts w:hint="eastAsia"/>
              </w:rPr>
              <w:t>IMS Multimedia Telephony Service</w:t>
            </w:r>
          </w:p>
        </w:tc>
      </w:tr>
    </w:tbl>
    <w:p>
      <w:pPr>
        <w:pStyle w:val="30"/>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keepNext w:val="0"/>
        <w:keepLines w:val="0"/>
        <w:pageBreakBefore w:val="0"/>
        <w:widowControl/>
        <w:kinsoku/>
        <w:wordWrap/>
        <w:overflowPunct/>
        <w:topLinePunct w:val="0"/>
        <w:autoSpaceDE/>
        <w:autoSpaceDN/>
        <w:bidi w:val="0"/>
        <w:adjustRightInd/>
        <w:snapToGrid/>
        <w:spacing w:after="18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AI technology has always been a global hotspot of attention. As the related technologies become increasingly mature, AI technology have demonstrated tremendous potential for application. Various industries are exploring the application scenarios of AI technology, and some 3GPP working groups have also discussed AI technology.Currently, there is a lack of specific study on how to integrate AI technology into IMS Multimedia Telephony Service, but this field is full of broad prospects.</w:t>
      </w:r>
    </w:p>
    <w:p>
      <w:pPr>
        <w:keepNext w:val="0"/>
        <w:keepLines w:val="0"/>
        <w:pageBreakBefore w:val="0"/>
        <w:widowControl/>
        <w:kinsoku/>
        <w:wordWrap/>
        <w:overflowPunct/>
        <w:topLinePunct w:val="0"/>
        <w:autoSpaceDE/>
        <w:autoSpaceDN/>
        <w:bidi w:val="0"/>
        <w:adjustRightInd/>
        <w:snapToGrid/>
        <w:spacing w:after="18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There are many new use cases for applying AI capabilities to telephony service emerging. For example, </w:t>
      </w:r>
      <w:bookmarkStart w:id="5" w:name="OLE_LINK5"/>
      <w:r>
        <w:rPr>
          <w:rFonts w:hint="eastAsia" w:ascii="Times New Roman" w:hAnsi="Times New Roman" w:eastAsia="宋体" w:cs="Times New Roman"/>
          <w:sz w:val="24"/>
          <w:szCs w:val="24"/>
          <w:lang w:val="en-US" w:eastAsia="zh-CN"/>
        </w:rPr>
        <w:t>the Call Assistant is a AI enhanced IMS Multimedia Telephony Service that could remain active for the duration of a call after the user has subscribed and obtained authorization from the user. When a user launches the Call Assistant service during a call, the Call Assistant may analyze the real-time audio/video and give the user some suggestion or help the user make some decision, e.g. if the user is planning for dinner with the callee, the Call Assistant may suggest some nearby restaurant and add the restaurant into a Three-Way Calling after the selection of the user.</w:t>
      </w:r>
      <w:bookmarkEnd w:id="5"/>
      <w:r>
        <w:rPr>
          <w:rFonts w:hint="eastAsia" w:ascii="Times New Roman" w:hAnsi="Times New Roman" w:eastAsia="宋体" w:cs="Times New Roman"/>
          <w:sz w:val="24"/>
          <w:szCs w:val="24"/>
          <w:lang w:val="en-US" w:eastAsia="zh-CN"/>
        </w:rPr>
        <w:t xml:space="preserve"> Additionally, Real-time transcription could convert the speech spoken by user into text and displaying it on the terminal screen, which could automatically turned on when it detects that the user is in a noisy environment.</w:t>
      </w:r>
    </w:p>
    <w:p>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Although the AI capabilities in </w:t>
      </w:r>
      <w:bookmarkStart w:id="6" w:name="OLE_LINK6"/>
      <w:r>
        <w:rPr>
          <w:rFonts w:hint="eastAsia" w:ascii="Times New Roman" w:hAnsi="Times New Roman" w:eastAsia="宋体" w:cs="Times New Roman"/>
          <w:sz w:val="24"/>
          <w:szCs w:val="24"/>
          <w:lang w:val="en-US" w:eastAsia="zh-CN"/>
        </w:rPr>
        <w:t xml:space="preserve">these use cases </w:t>
      </w:r>
      <w:bookmarkEnd w:id="6"/>
      <w:r>
        <w:rPr>
          <w:rFonts w:hint="eastAsia" w:ascii="Times New Roman" w:hAnsi="Times New Roman" w:eastAsia="宋体" w:cs="Times New Roman"/>
          <w:sz w:val="24"/>
          <w:szCs w:val="24"/>
          <w:lang w:val="en-US" w:eastAsia="zh-CN"/>
        </w:rPr>
        <w:t xml:space="preserve">may be provided by Application layer or Application Enabler Layer of the MNO, these new </w:t>
      </w:r>
      <w:bookmarkStart w:id="7" w:name="OLE_LINK7"/>
      <w:r>
        <w:rPr>
          <w:rFonts w:hint="eastAsia" w:ascii="Times New Roman" w:hAnsi="Times New Roman" w:eastAsia="宋体" w:cs="Times New Roman"/>
          <w:sz w:val="24"/>
          <w:szCs w:val="24"/>
          <w:lang w:val="en-US" w:eastAsia="zh-CN"/>
        </w:rPr>
        <w:t xml:space="preserve">use cases </w:t>
      </w:r>
      <w:bookmarkEnd w:id="7"/>
      <w:r>
        <w:rPr>
          <w:rFonts w:hint="eastAsia" w:ascii="Times New Roman" w:hAnsi="Times New Roman" w:eastAsia="宋体" w:cs="Times New Roman"/>
          <w:sz w:val="24"/>
          <w:szCs w:val="24"/>
          <w:lang w:val="en-US" w:eastAsia="zh-CN"/>
        </w:rPr>
        <w:t xml:space="preserve">will generate new requirements for the IMS system. For example. </w:t>
      </w:r>
      <w:bookmarkStart w:id="8" w:name="OLE_LINK8"/>
      <w:r>
        <w:rPr>
          <w:rFonts w:hint="eastAsia" w:ascii="Times New Roman" w:hAnsi="Times New Roman" w:eastAsia="宋体" w:cs="Times New Roman"/>
          <w:sz w:val="24"/>
          <w:szCs w:val="24"/>
          <w:lang w:val="en-US" w:eastAsia="zh-CN"/>
        </w:rPr>
        <w:t>these new services  may need to get the information in real time from multiple input of the IMS Multimedia Telephony Service, e.g. audio and video stream, the Geolocation information of the call,  a</w:t>
      </w:r>
      <w:bookmarkEnd w:id="8"/>
      <w:r>
        <w:rPr>
          <w:rFonts w:hint="eastAsia" w:ascii="Times New Roman" w:hAnsi="Times New Roman" w:eastAsia="宋体" w:cs="Times New Roman"/>
          <w:sz w:val="24"/>
          <w:szCs w:val="24"/>
          <w:lang w:val="en-US" w:eastAsia="zh-CN"/>
        </w:rPr>
        <w:t>nd the output of these new services, which may from Application layer or Application Enabler Layer, may also impact the core network in real time, e.g. routing the call to a suitable Application Server/ media function dynamically in a call, instructing media function to perform specific processing on the media stream.</w:t>
      </w:r>
    </w:p>
    <w:p>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It is therefore proposed a new study item to identify new or enhanced service requirements related to those potential use cases.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The objectives of this study </w:t>
      </w:r>
      <w:r>
        <w:rPr>
          <w:rFonts w:hint="eastAsia" w:ascii="Times New Roman" w:hAnsi="Times New Roman" w:eastAsia="宋体" w:cs="Times New Roman"/>
          <w:sz w:val="24"/>
          <w:szCs w:val="24"/>
          <w:lang w:val="en-US" w:eastAsia="zh-CN"/>
        </w:rPr>
        <w:t>are</w:t>
      </w:r>
      <w:r>
        <w:rPr>
          <w:rFonts w:hint="default" w:ascii="Times New Roman" w:hAnsi="Times New Roman" w:eastAsia="宋体" w:cs="Times New Roman"/>
          <w:sz w:val="24"/>
          <w:szCs w:val="24"/>
          <w:lang w:val="en-US" w:eastAsia="zh-CN"/>
        </w:rPr>
        <w:t>:</w:t>
      </w:r>
    </w:p>
    <w:p>
      <w:pPr>
        <w:keepNext w:val="0"/>
        <w:keepLines w:val="0"/>
        <w:pageBreakBefore w:val="0"/>
        <w:widowControl/>
        <w:kinsoku/>
        <w:wordWrap/>
        <w:overflowPunct/>
        <w:topLinePunct w:val="0"/>
        <w:autoSpaceDE/>
        <w:autoSpaceDN/>
        <w:bidi w:val="0"/>
        <w:adjustRightInd/>
        <w:snapToGrid/>
        <w:spacing w:after="18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t</w:t>
      </w:r>
      <w:r>
        <w:rPr>
          <w:rFonts w:hint="default" w:ascii="Times New Roman" w:hAnsi="Times New Roman" w:eastAsia="宋体" w:cs="Times New Roman"/>
          <w:sz w:val="24"/>
          <w:szCs w:val="24"/>
          <w:lang w:val="en-US" w:eastAsia="zh-CN"/>
        </w:rPr>
        <w:t xml:space="preserve">o study </w:t>
      </w:r>
      <w:r>
        <w:rPr>
          <w:rFonts w:hint="eastAsia" w:ascii="Times New Roman" w:hAnsi="Times New Roman" w:eastAsia="宋体" w:cs="Times New Roman"/>
          <w:sz w:val="24"/>
          <w:szCs w:val="24"/>
          <w:lang w:val="en-US" w:eastAsia="zh-CN"/>
        </w:rPr>
        <w:t xml:space="preserve">new </w:t>
      </w:r>
      <w:r>
        <w:rPr>
          <w:rFonts w:hint="default" w:ascii="Times New Roman" w:hAnsi="Times New Roman" w:eastAsia="宋体" w:cs="Times New Roman"/>
          <w:sz w:val="24"/>
          <w:szCs w:val="24"/>
          <w:lang w:val="en-US" w:eastAsia="zh-CN"/>
        </w:rPr>
        <w:t>use cases on</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val="en-US" w:eastAsia="zh-CN"/>
        </w:rPr>
        <w:t xml:space="preserve">AI </w:t>
      </w:r>
      <w:r>
        <w:rPr>
          <w:rFonts w:hint="eastAsia" w:ascii="Times New Roman" w:hAnsi="Times New Roman" w:eastAsia="宋体" w:cs="Times New Roman"/>
          <w:sz w:val="24"/>
          <w:szCs w:val="24"/>
          <w:lang w:val="en-US" w:eastAsia="zh-CN"/>
        </w:rPr>
        <w:t xml:space="preserve">enhanced IMS multimedia telephony service to identify new </w:t>
      </w:r>
      <w:r>
        <w:rPr>
          <w:rFonts w:hint="default" w:ascii="Times New Roman" w:hAnsi="Times New Roman" w:eastAsia="宋体" w:cs="Times New Roman"/>
          <w:sz w:val="24"/>
          <w:szCs w:val="24"/>
          <w:lang w:val="en-US" w:eastAsia="zh-CN"/>
        </w:rPr>
        <w:t xml:space="preserve">service requirements </w:t>
      </w:r>
      <w:r>
        <w:rPr>
          <w:rFonts w:hint="eastAsia" w:ascii="Times New Roman" w:hAnsi="Times New Roman" w:eastAsia="宋体" w:cs="Times New Roman"/>
          <w:sz w:val="24"/>
          <w:szCs w:val="24"/>
          <w:lang w:val="en-US" w:eastAsia="zh-CN"/>
        </w:rPr>
        <w:t>and</w:t>
      </w:r>
      <w:r>
        <w:rPr>
          <w:rFonts w:hint="default" w:ascii="Times New Roman" w:hAnsi="Times New Roman" w:eastAsia="宋体" w:cs="Times New Roman"/>
          <w:sz w:val="24"/>
          <w:szCs w:val="24"/>
          <w:lang w:val="en-US" w:eastAsia="zh-CN"/>
        </w:rPr>
        <w:t xml:space="preserve"> enhancements</w:t>
      </w:r>
      <w:r>
        <w:rPr>
          <w:rFonts w:hint="eastAsia" w:ascii="Times New Roman" w:hAnsi="Times New Roman" w:eastAsia="宋体" w:cs="Times New Roman"/>
          <w:sz w:val="24"/>
          <w:szCs w:val="24"/>
          <w:lang w:val="en-US" w:eastAsia="zh-CN"/>
        </w:rPr>
        <w:t xml:space="preserve"> for </w:t>
      </w:r>
      <w:r>
        <w:rPr>
          <w:rFonts w:hint="default" w:ascii="Times New Roman" w:hAnsi="Times New Roman" w:eastAsia="宋体" w:cs="Times New Roman"/>
          <w:sz w:val="24"/>
          <w:szCs w:val="24"/>
          <w:lang w:val="en-US" w:eastAsia="zh-CN"/>
        </w:rPr>
        <w:t xml:space="preserve">AI </w:t>
      </w:r>
      <w:r>
        <w:rPr>
          <w:rFonts w:hint="eastAsia" w:ascii="Times New Roman" w:hAnsi="Times New Roman" w:eastAsia="宋体" w:cs="Times New Roman"/>
          <w:sz w:val="24"/>
          <w:szCs w:val="24"/>
          <w:lang w:val="en-US" w:eastAsia="zh-CN"/>
        </w:rPr>
        <w:t xml:space="preserve">enhanced IMS multimedia telephony service; </w:t>
      </w:r>
    </w:p>
    <w:p>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to identify potential enhancements for IMS/5G system to fulfill the new service requirements captured from bullet 1) above; and</w:t>
      </w:r>
    </w:p>
    <w:p>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w:t>
      </w:r>
      <w:r>
        <w:rPr>
          <w:rFonts w:hint="eastAsia" w:ascii="Times New Roman" w:hAnsi="Times New Roman" w:eastAsia="宋体" w:cs="Times New Roman"/>
          <w:sz w:val="24"/>
          <w:szCs w:val="24"/>
          <w:lang w:val="en-US" w:eastAsia="zh-CN"/>
        </w:rPr>
        <w:tab/>
      </w:r>
      <w:r>
        <w:rPr>
          <w:rFonts w:hint="eastAsia" w:ascii="Times New Roman" w:hAnsi="Times New Roman" w:eastAsia="宋体" w:cs="Times New Roman"/>
          <w:sz w:val="24"/>
          <w:szCs w:val="24"/>
          <w:lang w:val="en-US" w:eastAsia="zh-CN"/>
        </w:rPr>
        <w:t>o</w:t>
      </w:r>
      <w:r>
        <w:rPr>
          <w:rFonts w:hint="default" w:ascii="Times New Roman" w:hAnsi="Times New Roman" w:eastAsia="宋体" w:cs="Times New Roman"/>
          <w:sz w:val="24"/>
          <w:szCs w:val="24"/>
          <w:lang w:val="en-US" w:eastAsia="zh-CN"/>
        </w:rPr>
        <w:t xml:space="preserve">ther aspects, such as privacy, charging, </w:t>
      </w:r>
      <w:r>
        <w:rPr>
          <w:rFonts w:hint="eastAsia" w:ascii="Times New Roman" w:hAnsi="Times New Roman" w:eastAsia="宋体" w:cs="Times New Roman"/>
          <w:sz w:val="24"/>
          <w:szCs w:val="24"/>
          <w:lang w:val="en-US" w:eastAsia="zh-CN"/>
        </w:rPr>
        <w:t xml:space="preserve">interworking, </w:t>
      </w:r>
      <w:r>
        <w:rPr>
          <w:rFonts w:hint="default" w:ascii="Times New Roman" w:hAnsi="Times New Roman" w:eastAsia="宋体" w:cs="Times New Roman"/>
          <w:sz w:val="24"/>
          <w:szCs w:val="24"/>
          <w:lang w:val="en-US" w:eastAsia="zh-CN"/>
        </w:rPr>
        <w:t>public safety and security requirements</w:t>
      </w:r>
      <w:r>
        <w:rPr>
          <w:rFonts w:hint="eastAsia"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for </w:t>
      </w:r>
      <w:r>
        <w:rPr>
          <w:rFonts w:hint="default" w:ascii="Times New Roman" w:hAnsi="Times New Roman" w:eastAsia="宋体" w:cs="Times New Roman"/>
          <w:sz w:val="24"/>
          <w:szCs w:val="24"/>
          <w:lang w:val="en-US" w:eastAsia="zh-CN"/>
        </w:rPr>
        <w:t xml:space="preserve">AI </w:t>
      </w:r>
      <w:r>
        <w:rPr>
          <w:rFonts w:hint="eastAsia" w:ascii="Times New Roman" w:hAnsi="Times New Roman" w:eastAsia="宋体" w:cs="Times New Roman"/>
          <w:sz w:val="24"/>
          <w:szCs w:val="24"/>
          <w:lang w:val="en-US" w:eastAsia="zh-CN"/>
        </w:rPr>
        <w:t>enhanced IMS multimedia telephony service</w:t>
      </w:r>
      <w:r>
        <w:rPr>
          <w:rFonts w:hint="default" w:ascii="Times New Roman" w:hAnsi="Times New Roman" w:eastAsia="宋体" w:cs="Times New Roman"/>
          <w:sz w:val="24"/>
          <w:szCs w:val="24"/>
          <w:lang w:val="en-US" w:eastAsia="zh-CN"/>
        </w:rPr>
        <w:t>.</w:t>
      </w:r>
    </w:p>
    <w:p>
      <w:pPr>
        <w:keepNext w:val="0"/>
        <w:keepLines w:val="0"/>
        <w:pageBreakBefore w:val="0"/>
        <w:widowControl/>
        <w:kinsoku/>
        <w:wordWrap/>
        <w:overflowPunct/>
        <w:topLinePunct w:val="0"/>
        <w:autoSpaceDE/>
        <w:autoSpaceDN/>
        <w:bidi w:val="0"/>
        <w:adjustRightInd/>
        <w:snapToGrid/>
        <w:spacing w:after="18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The study will also investigate gaps between the identified new potential requirements and the requirements already specified for the IMS and 5G system.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t xml:space="preserve">Type </w:t>
            </w:r>
          </w:p>
        </w:tc>
        <w:tc>
          <w:tcPr>
            <w:tcW w:w="1134" w:type="dxa"/>
            <w:shd w:val="clear" w:color="auto" w:fill="D9D9D9"/>
            <w:tcMar>
              <w:left w:w="57" w:type="dxa"/>
              <w:right w:w="57" w:type="dxa"/>
            </w:tcMar>
          </w:tcPr>
          <w:p>
            <w:pPr>
              <w:pStyle w:val="28"/>
            </w:pPr>
            <w:r>
              <w:t>TS/TR number</w:t>
            </w:r>
          </w:p>
        </w:tc>
        <w:tc>
          <w:tcPr>
            <w:tcW w:w="2409" w:type="dxa"/>
            <w:shd w:val="clear" w:color="auto" w:fill="D9D9D9"/>
            <w:tcMar>
              <w:left w:w="57" w:type="dxa"/>
              <w:right w:w="57" w:type="dxa"/>
            </w:tcMar>
          </w:tcPr>
          <w:p>
            <w:pPr>
              <w:pStyle w:val="28"/>
            </w:pPr>
            <w:r>
              <w:t>Title</w:t>
            </w:r>
          </w:p>
        </w:tc>
        <w:tc>
          <w:tcPr>
            <w:tcW w:w="993" w:type="dxa"/>
            <w:shd w:val="clear" w:color="auto" w:fill="D9D9D9"/>
            <w:tcMar>
              <w:left w:w="57" w:type="dxa"/>
              <w:right w:w="57" w:type="dxa"/>
            </w:tcMar>
          </w:tcPr>
          <w:p>
            <w:pPr>
              <w:pStyle w:val="28"/>
            </w:pPr>
            <w:r>
              <w:t xml:space="preserve">For info </w:t>
            </w:r>
            <w:r>
              <w:br w:type="textWrapping"/>
            </w:r>
            <w:r>
              <w:t xml:space="preserve">at TSG# </w:t>
            </w:r>
          </w:p>
        </w:tc>
        <w:tc>
          <w:tcPr>
            <w:tcW w:w="1074" w:type="dxa"/>
            <w:shd w:val="clear" w:color="auto" w:fill="D9D9D9"/>
            <w:tcMar>
              <w:left w:w="57" w:type="dxa"/>
              <w:right w:w="57" w:type="dxa"/>
            </w:tcMar>
          </w:tcPr>
          <w:p>
            <w:pPr>
              <w:pStyle w:val="28"/>
            </w:pPr>
            <w:r>
              <w:t>For approval at TSG#</w:t>
            </w:r>
          </w:p>
        </w:tc>
        <w:tc>
          <w:tcPr>
            <w:tcW w:w="2186" w:type="dxa"/>
            <w:shd w:val="clear" w:color="auto" w:fill="D9D9D9"/>
            <w:tcMar>
              <w:left w:w="57" w:type="dxa"/>
              <w:right w:w="57" w:type="dxa"/>
            </w:tcMar>
          </w:tcPr>
          <w:p>
            <w:pPr>
              <w:pStyle w:val="28"/>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spacing w:after="0"/>
              <w:rPr>
                <w:i w:val="0"/>
                <w:iCs/>
              </w:rPr>
            </w:pPr>
            <w:r>
              <w:rPr>
                <w:i w:val="0"/>
                <w:iCs/>
              </w:rPr>
              <w:t>Internal TR</w:t>
            </w:r>
          </w:p>
        </w:tc>
        <w:tc>
          <w:tcPr>
            <w:tcW w:w="1134" w:type="dxa"/>
          </w:tcPr>
          <w:p>
            <w:pPr>
              <w:pStyle w:val="25"/>
              <w:spacing w:after="0"/>
              <w:rPr>
                <w:i w:val="0"/>
                <w:iCs/>
              </w:rPr>
            </w:pPr>
            <w:r>
              <w:rPr>
                <w:i w:val="0"/>
                <w:iCs/>
              </w:rPr>
              <w:t>22.XXX</w:t>
            </w:r>
          </w:p>
        </w:tc>
        <w:tc>
          <w:tcPr>
            <w:tcW w:w="2409" w:type="dxa"/>
          </w:tcPr>
          <w:p>
            <w:pPr>
              <w:pStyle w:val="25"/>
              <w:spacing w:after="0"/>
              <w:rPr>
                <w:i w:val="0"/>
                <w:iCs/>
              </w:rPr>
            </w:pPr>
            <w:r>
              <w:rPr>
                <w:rFonts w:hint="eastAsia"/>
                <w:i w:val="0"/>
                <w:iCs/>
                <w:lang w:val="en-US" w:eastAsia="zh-CN"/>
              </w:rPr>
              <w:t>Study on AI enhanced IMS Multimedia Telephony Service</w:t>
            </w:r>
            <w:r>
              <w:rPr>
                <w:rFonts w:hint="eastAsia"/>
                <w:i w:val="0"/>
                <w:iCs/>
                <w:lang w:val="en-US" w:eastAsia="ja-JP"/>
              </w:rPr>
              <w:tab/>
            </w:r>
          </w:p>
        </w:tc>
        <w:tc>
          <w:tcPr>
            <w:tcW w:w="993" w:type="dxa"/>
          </w:tcPr>
          <w:p>
            <w:pPr>
              <w:pStyle w:val="25"/>
              <w:spacing w:after="0"/>
              <w:rPr>
                <w:rFonts w:hint="eastAsia" w:eastAsia="宋体"/>
                <w:i w:val="0"/>
                <w:iCs/>
                <w:lang w:val="en-US" w:eastAsia="zh-CN"/>
              </w:rPr>
            </w:pPr>
            <w:r>
              <w:rPr>
                <w:rFonts w:hint="eastAsia" w:eastAsia="宋体"/>
                <w:i w:val="0"/>
                <w:iCs/>
                <w:lang w:val="en-US" w:eastAsia="zh-CN"/>
              </w:rPr>
              <w:t>SA</w:t>
            </w:r>
            <w:r>
              <w:rPr>
                <w:i w:val="0"/>
                <w:iCs/>
              </w:rPr>
              <w:t>#</w:t>
            </w:r>
            <w:r>
              <w:rPr>
                <w:rFonts w:hint="eastAsia" w:eastAsia="宋体"/>
                <w:i w:val="0"/>
                <w:iCs/>
                <w:lang w:val="en-US" w:eastAsia="zh-CN"/>
              </w:rPr>
              <w:t>105</w:t>
            </w:r>
          </w:p>
          <w:p>
            <w:pPr>
              <w:pStyle w:val="25"/>
              <w:spacing w:after="0"/>
              <w:rPr>
                <w:rFonts w:hint="default" w:eastAsia="宋体"/>
                <w:i w:val="0"/>
                <w:iCs/>
                <w:lang w:val="en-US" w:eastAsia="zh-CN"/>
              </w:rPr>
            </w:pPr>
            <w:r>
              <w:rPr>
                <w:rFonts w:hint="eastAsia" w:eastAsia="宋体"/>
                <w:i w:val="0"/>
                <w:iCs/>
                <w:lang w:val="en-US" w:eastAsia="zh-CN"/>
              </w:rPr>
              <w:t xml:space="preserve">09/2024 </w:t>
            </w:r>
          </w:p>
        </w:tc>
        <w:tc>
          <w:tcPr>
            <w:tcW w:w="1074" w:type="dxa"/>
          </w:tcPr>
          <w:p>
            <w:pPr>
              <w:pStyle w:val="25"/>
              <w:spacing w:after="0"/>
              <w:rPr>
                <w:rFonts w:hint="eastAsia" w:eastAsia="宋体"/>
                <w:i w:val="0"/>
                <w:iCs/>
                <w:lang w:val="en-US" w:eastAsia="zh-CN"/>
              </w:rPr>
            </w:pPr>
            <w:r>
              <w:rPr>
                <w:rFonts w:hint="eastAsia" w:eastAsia="宋体"/>
                <w:i w:val="0"/>
                <w:iCs/>
                <w:lang w:val="en-US" w:eastAsia="zh-CN"/>
              </w:rPr>
              <w:t>SA</w:t>
            </w:r>
            <w:r>
              <w:rPr>
                <w:i w:val="0"/>
                <w:iCs/>
              </w:rPr>
              <w:t>#</w:t>
            </w:r>
            <w:r>
              <w:rPr>
                <w:rFonts w:hint="eastAsia" w:eastAsia="宋体"/>
                <w:i w:val="0"/>
                <w:iCs/>
                <w:lang w:val="en-US" w:eastAsia="zh-CN"/>
              </w:rPr>
              <w:t>106</w:t>
            </w:r>
          </w:p>
          <w:p>
            <w:pPr>
              <w:pStyle w:val="25"/>
              <w:spacing w:after="0"/>
              <w:rPr>
                <w:rFonts w:hint="default" w:eastAsia="宋体"/>
                <w:i w:val="0"/>
                <w:iCs/>
                <w:lang w:val="en-US" w:eastAsia="zh-CN"/>
              </w:rPr>
            </w:pPr>
            <w:r>
              <w:rPr>
                <w:rFonts w:hint="eastAsia" w:eastAsia="宋体"/>
                <w:i w:val="0"/>
                <w:iCs/>
                <w:lang w:val="en-US" w:eastAsia="zh-CN"/>
              </w:rPr>
              <w:t>12/2024</w:t>
            </w:r>
          </w:p>
        </w:tc>
        <w:tc>
          <w:tcPr>
            <w:tcW w:w="2186" w:type="dxa"/>
          </w:tcPr>
          <w:p>
            <w:pPr>
              <w:pStyle w:val="25"/>
              <w:spacing w:after="0"/>
              <w:rPr>
                <w:i w:val="0"/>
                <w:iCs/>
              </w:rPr>
            </w:pPr>
            <w:r>
              <w:rPr>
                <w:rFonts w:hint="eastAsia"/>
                <w:i w:val="0"/>
                <w:iCs/>
                <w:lang w:val="en-US" w:eastAsia="zh-CN"/>
              </w:rPr>
              <w:t>Du</w:t>
            </w:r>
            <w:r>
              <w:rPr>
                <w:i w:val="0"/>
                <w:iCs/>
              </w:rPr>
              <w:t xml:space="preserve">, </w:t>
            </w:r>
            <w:r>
              <w:rPr>
                <w:rFonts w:hint="eastAsia"/>
                <w:i w:val="0"/>
                <w:iCs/>
                <w:lang w:val="en-US" w:eastAsia="zh-CN"/>
              </w:rPr>
              <w:t>Shenxiu,</w:t>
            </w:r>
            <w:r>
              <w:rPr>
                <w:rFonts w:hint="default"/>
                <w:i w:val="0"/>
                <w:iCs/>
                <w:lang w:val="en-US"/>
              </w:rPr>
              <w:t>China Mobile</w:t>
            </w:r>
            <w:r>
              <w:rPr>
                <w:i w:val="0"/>
                <w:iCs/>
              </w:rPr>
              <w:t>, &lt;</w:t>
            </w:r>
            <w:r>
              <w:rPr>
                <w:rFonts w:hint="eastAsia"/>
                <w:i w:val="0"/>
                <w:iCs/>
                <w:lang w:val="en-US" w:eastAsia="zh-CN"/>
              </w:rPr>
              <w:t>dushenxiu</w:t>
            </w:r>
            <w:r>
              <w:rPr>
                <w:rFonts w:hint="default"/>
                <w:i w:val="0"/>
                <w:iCs/>
                <w:lang w:val="en-US"/>
              </w:rPr>
              <w:t>@chinamobile.com</w:t>
            </w:r>
            <w:r>
              <w:rPr>
                <w:i w:val="0"/>
                <w:iCs/>
              </w:rPr>
              <w: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5"/>
              <w:spacing w:after="0"/>
            </w:pPr>
          </w:p>
        </w:tc>
        <w:tc>
          <w:tcPr>
            <w:tcW w:w="4344" w:type="dxa"/>
            <w:tcBorders>
              <w:top w:val="single" w:color="auto" w:sz="4" w:space="0"/>
              <w:left w:val="single" w:color="auto" w:sz="4" w:space="0"/>
              <w:bottom w:val="single" w:color="auto" w:sz="4" w:space="0"/>
              <w:right w:val="single" w:color="auto" w:sz="4" w:space="0"/>
            </w:tcBorders>
            <w:vAlign w:val="top"/>
          </w:tcPr>
          <w:p>
            <w:pPr>
              <w:pStyle w:val="25"/>
              <w:spacing w:after="0"/>
            </w:pPr>
          </w:p>
        </w:tc>
        <w:tc>
          <w:tcPr>
            <w:tcW w:w="1417" w:type="dxa"/>
            <w:tcBorders>
              <w:top w:val="single" w:color="auto" w:sz="4" w:space="0"/>
              <w:left w:val="single" w:color="auto" w:sz="4" w:space="0"/>
              <w:bottom w:val="single" w:color="auto" w:sz="4" w:space="0"/>
              <w:right w:val="single" w:color="auto" w:sz="4" w:space="0"/>
            </w:tcBorders>
            <w:vAlign w:val="top"/>
          </w:tcPr>
          <w:p>
            <w:pPr>
              <w:pStyle w:val="25"/>
              <w:spacing w:after="0"/>
              <w:rPr>
                <w:rFonts w:hint="default"/>
                <w:lang w:val="en-US"/>
              </w:rPr>
            </w:pPr>
          </w:p>
        </w:tc>
        <w:tc>
          <w:tcPr>
            <w:tcW w:w="2101" w:type="dxa"/>
            <w:tcBorders>
              <w:top w:val="single" w:color="auto" w:sz="4" w:space="0"/>
              <w:left w:val="single" w:color="auto" w:sz="4" w:space="0"/>
              <w:bottom w:val="single" w:color="auto" w:sz="4" w:space="0"/>
              <w:right w:val="single" w:color="auto" w:sz="4" w:space="0"/>
            </w:tcBorders>
            <w:vAlign w:val="top"/>
          </w:tcPr>
          <w:p>
            <w:pPr>
              <w:pStyle w:val="25"/>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5"/>
              <w:spacing w:after="0"/>
            </w:pPr>
          </w:p>
        </w:tc>
        <w:tc>
          <w:tcPr>
            <w:tcW w:w="4344" w:type="dxa"/>
            <w:tcBorders>
              <w:top w:val="single" w:color="auto" w:sz="4" w:space="0"/>
              <w:left w:val="single" w:color="auto" w:sz="4" w:space="0"/>
              <w:bottom w:val="single" w:color="auto" w:sz="4" w:space="0"/>
              <w:right w:val="single" w:color="auto" w:sz="4" w:space="0"/>
            </w:tcBorders>
            <w:vAlign w:val="top"/>
          </w:tcPr>
          <w:p>
            <w:pPr>
              <w:pStyle w:val="25"/>
              <w:spacing w:after="0"/>
            </w:pPr>
          </w:p>
        </w:tc>
        <w:tc>
          <w:tcPr>
            <w:tcW w:w="1417" w:type="dxa"/>
            <w:tcBorders>
              <w:top w:val="single" w:color="auto" w:sz="4" w:space="0"/>
              <w:left w:val="single" w:color="auto" w:sz="4" w:space="0"/>
              <w:bottom w:val="single" w:color="auto" w:sz="4" w:space="0"/>
              <w:right w:val="single" w:color="auto" w:sz="4" w:space="0"/>
            </w:tcBorders>
            <w:vAlign w:val="top"/>
          </w:tcPr>
          <w:p>
            <w:pPr>
              <w:pStyle w:val="25"/>
              <w:spacing w:after="0"/>
              <w:rPr>
                <w:rFonts w:hint="default"/>
                <w:lang w:val="en-US"/>
              </w:rPr>
            </w:pPr>
          </w:p>
        </w:tc>
        <w:tc>
          <w:tcPr>
            <w:tcW w:w="2101" w:type="dxa"/>
            <w:tcBorders>
              <w:top w:val="single" w:color="auto" w:sz="4" w:space="0"/>
              <w:left w:val="single" w:color="auto" w:sz="4" w:space="0"/>
              <w:bottom w:val="single" w:color="auto" w:sz="4" w:space="0"/>
              <w:right w:val="single" w:color="auto" w:sz="4" w:space="0"/>
            </w:tcBorders>
            <w:vAlign w:val="top"/>
          </w:tcPr>
          <w:p>
            <w:pPr>
              <w:pStyle w:val="25"/>
              <w:spacing w:after="0"/>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5"/>
      </w:pPr>
      <w:r>
        <w:rPr>
          <w:rFonts w:hint="eastAsia" w:eastAsia="宋体"/>
          <w:i w:val="0"/>
          <w:iCs/>
          <w:lang w:val="en-US" w:eastAsia="zh-CN"/>
        </w:rPr>
        <w:t>DU</w:t>
      </w:r>
      <w:r>
        <w:rPr>
          <w:i w:val="0"/>
          <w:iCs/>
        </w:rPr>
        <w:t xml:space="preserve">, </w:t>
      </w:r>
      <w:r>
        <w:rPr>
          <w:rFonts w:hint="eastAsia" w:eastAsia="宋体"/>
          <w:i w:val="0"/>
          <w:iCs/>
          <w:lang w:val="en-US" w:eastAsia="zh-CN"/>
        </w:rPr>
        <w:t>Shenxiu</w:t>
      </w:r>
      <w:r>
        <w:rPr>
          <w:i w:val="0"/>
          <w:iCs/>
        </w:rPr>
        <w:t xml:space="preserve">, </w:t>
      </w:r>
      <w:r>
        <w:rPr>
          <w:rFonts w:hint="default"/>
          <w:i w:val="0"/>
          <w:iCs/>
          <w:lang w:val="en-US"/>
        </w:rPr>
        <w:t>China Mobile</w:t>
      </w:r>
      <w:r>
        <w:rPr>
          <w:i w:val="0"/>
          <w:iCs/>
        </w:rPr>
        <w:t>, &lt;</w:t>
      </w:r>
      <w:r>
        <w:rPr>
          <w:rFonts w:hint="eastAsia" w:eastAsia="宋体"/>
          <w:i w:val="0"/>
          <w:iCs/>
          <w:lang w:val="en-US" w:eastAsia="zh-CN"/>
        </w:rPr>
        <w:t>dushenxiu</w:t>
      </w:r>
      <w:r>
        <w:rPr>
          <w:rFonts w:hint="default"/>
          <w:i w:val="0"/>
          <w:iCs/>
          <w:lang w:val="en-US"/>
        </w:rPr>
        <w:t>@chinamobile.com</w:t>
      </w:r>
      <w:r>
        <w:rPr>
          <w:i w:val="0"/>
          <w:iCs/>
        </w:rPr>
        <w:t>&gt;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rPr>
          <w:rFonts w:hint="eastAsia" w:eastAsia="宋体"/>
          <w:lang w:val="en-US" w:eastAsia="zh-CN"/>
        </w:rPr>
        <w:t>SA1</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5"/>
        <w:rPr>
          <w:i w:val="0"/>
          <w:lang w:eastAsia="zh-CN"/>
        </w:rPr>
      </w:pPr>
      <w:bookmarkStart w:id="9" w:name="OLE_LINK50"/>
      <w:bookmarkStart w:id="10" w:name="OLE_LINK51"/>
      <w:bookmarkStart w:id="11" w:name="OLE_LINK49"/>
      <w:r>
        <w:rPr>
          <w:rFonts w:hint="eastAsia"/>
          <w:i w:val="0"/>
          <w:lang w:eastAsia="zh-CN"/>
        </w:rPr>
        <w:t>None identified yet at the current stage</w:t>
      </w:r>
    </w:p>
    <w:bookmarkEnd w:id="9"/>
    <w:bookmarkEnd w:id="10"/>
    <w:bookmarkEnd w:id="11"/>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bookmarkStart w:id="13" w:name="_GoBack"/>
      <w:bookmarkEnd w:id="13"/>
      <w:r>
        <w:rPr>
          <w:b w:val="0"/>
          <w:sz w:val="36"/>
          <w:lang w:eastAsia="ja-JP"/>
        </w:rPr>
        <w:t>9</w:t>
      </w:r>
      <w:r>
        <w:rPr>
          <w:b w:val="0"/>
          <w:sz w:val="36"/>
          <w:lang w:eastAsia="ja-JP"/>
        </w:rPr>
        <w:tab/>
      </w:r>
      <w:bookmarkStart w:id="12" w:name="OLE_LINK2"/>
      <w:r>
        <w:rPr>
          <w:b w:val="0"/>
          <w:sz w:val="36"/>
          <w:lang w:eastAsia="ja-JP"/>
        </w:rPr>
        <w:t>Supporting Individual Members</w:t>
      </w:r>
      <w:bookmarkEnd w:id="12"/>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jc w:val="center"/>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30C"/>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13695"/>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3039"/>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2743291"/>
    <w:rsid w:val="02F327FE"/>
    <w:rsid w:val="04AF06BB"/>
    <w:rsid w:val="04DD3789"/>
    <w:rsid w:val="07BC4329"/>
    <w:rsid w:val="07D76969"/>
    <w:rsid w:val="07DC2DF1"/>
    <w:rsid w:val="080E1DF2"/>
    <w:rsid w:val="08E745A8"/>
    <w:rsid w:val="0A7140AF"/>
    <w:rsid w:val="0B32416D"/>
    <w:rsid w:val="0B5459A6"/>
    <w:rsid w:val="0C476233"/>
    <w:rsid w:val="0C7C5409"/>
    <w:rsid w:val="0DC36A25"/>
    <w:rsid w:val="0E642D2B"/>
    <w:rsid w:val="0F892FD4"/>
    <w:rsid w:val="0FED152D"/>
    <w:rsid w:val="10856228"/>
    <w:rsid w:val="10DD4F94"/>
    <w:rsid w:val="11353824"/>
    <w:rsid w:val="11D11404"/>
    <w:rsid w:val="11D93657"/>
    <w:rsid w:val="13527640"/>
    <w:rsid w:val="14790727"/>
    <w:rsid w:val="148B0E53"/>
    <w:rsid w:val="14C95F28"/>
    <w:rsid w:val="14DE264A"/>
    <w:rsid w:val="15A83398"/>
    <w:rsid w:val="16A80F9B"/>
    <w:rsid w:val="16E939A4"/>
    <w:rsid w:val="17041FCF"/>
    <w:rsid w:val="182B7833"/>
    <w:rsid w:val="18542BF6"/>
    <w:rsid w:val="18893450"/>
    <w:rsid w:val="196E49C7"/>
    <w:rsid w:val="1A184D3E"/>
    <w:rsid w:val="1AEA1935"/>
    <w:rsid w:val="1B0537E4"/>
    <w:rsid w:val="1BEA14D8"/>
    <w:rsid w:val="1DFB7FBE"/>
    <w:rsid w:val="1F7673F4"/>
    <w:rsid w:val="1F7C71B6"/>
    <w:rsid w:val="20800FE2"/>
    <w:rsid w:val="21647548"/>
    <w:rsid w:val="21AB744A"/>
    <w:rsid w:val="2237702E"/>
    <w:rsid w:val="22683081"/>
    <w:rsid w:val="228316AC"/>
    <w:rsid w:val="228D583F"/>
    <w:rsid w:val="2363679C"/>
    <w:rsid w:val="23CD61CB"/>
    <w:rsid w:val="24497D13"/>
    <w:rsid w:val="25110904"/>
    <w:rsid w:val="27333F5E"/>
    <w:rsid w:val="27E311E1"/>
    <w:rsid w:val="2816018E"/>
    <w:rsid w:val="28284B21"/>
    <w:rsid w:val="28420898"/>
    <w:rsid w:val="2B6E03A7"/>
    <w:rsid w:val="2C2417F8"/>
    <w:rsid w:val="2C420DA8"/>
    <w:rsid w:val="2C547DC9"/>
    <w:rsid w:val="2D002460"/>
    <w:rsid w:val="2D201C06"/>
    <w:rsid w:val="2D5178E3"/>
    <w:rsid w:val="2DBF1599"/>
    <w:rsid w:val="2FFB34F7"/>
    <w:rsid w:val="308D5EB4"/>
    <w:rsid w:val="31900060"/>
    <w:rsid w:val="32027AA4"/>
    <w:rsid w:val="335A72CC"/>
    <w:rsid w:val="34216D3D"/>
    <w:rsid w:val="34226D15"/>
    <w:rsid w:val="35031DDC"/>
    <w:rsid w:val="35AA111A"/>
    <w:rsid w:val="35ED19A9"/>
    <w:rsid w:val="35EE760F"/>
    <w:rsid w:val="386A5EDC"/>
    <w:rsid w:val="38F804BB"/>
    <w:rsid w:val="390D4B70"/>
    <w:rsid w:val="3949030C"/>
    <w:rsid w:val="39511E95"/>
    <w:rsid w:val="39F17820"/>
    <w:rsid w:val="39F36884"/>
    <w:rsid w:val="3AD16E8E"/>
    <w:rsid w:val="3BBA221D"/>
    <w:rsid w:val="3BE10C4C"/>
    <w:rsid w:val="3C2B10C2"/>
    <w:rsid w:val="3C682428"/>
    <w:rsid w:val="3C7A5BC5"/>
    <w:rsid w:val="3CBD53A3"/>
    <w:rsid w:val="3E1A30F3"/>
    <w:rsid w:val="3E7D1B12"/>
    <w:rsid w:val="3F135889"/>
    <w:rsid w:val="3F204B9F"/>
    <w:rsid w:val="3F640B0B"/>
    <w:rsid w:val="3FBA151A"/>
    <w:rsid w:val="40751C4D"/>
    <w:rsid w:val="409311FD"/>
    <w:rsid w:val="41007633"/>
    <w:rsid w:val="42004FD7"/>
    <w:rsid w:val="43931B6A"/>
    <w:rsid w:val="442916E1"/>
    <w:rsid w:val="45145EE0"/>
    <w:rsid w:val="45527E88"/>
    <w:rsid w:val="45773005"/>
    <w:rsid w:val="46064553"/>
    <w:rsid w:val="48F409BD"/>
    <w:rsid w:val="495A3BE4"/>
    <w:rsid w:val="4A301CC2"/>
    <w:rsid w:val="4AF22A01"/>
    <w:rsid w:val="4AF82708"/>
    <w:rsid w:val="4B9B7997"/>
    <w:rsid w:val="4E146DA6"/>
    <w:rsid w:val="4F074C2C"/>
    <w:rsid w:val="4FBE1360"/>
    <w:rsid w:val="51CC3B7D"/>
    <w:rsid w:val="51DF265F"/>
    <w:rsid w:val="5232071C"/>
    <w:rsid w:val="53416A23"/>
    <w:rsid w:val="53F24649"/>
    <w:rsid w:val="54BA080E"/>
    <w:rsid w:val="559B337F"/>
    <w:rsid w:val="562F6EAA"/>
    <w:rsid w:val="57144A26"/>
    <w:rsid w:val="571B4AF5"/>
    <w:rsid w:val="57FA4163"/>
    <w:rsid w:val="58083479"/>
    <w:rsid w:val="58407918"/>
    <w:rsid w:val="587924B3"/>
    <w:rsid w:val="594C028D"/>
    <w:rsid w:val="5988716F"/>
    <w:rsid w:val="5A7238F3"/>
    <w:rsid w:val="5B386B34"/>
    <w:rsid w:val="5B474BD0"/>
    <w:rsid w:val="5C212ECE"/>
    <w:rsid w:val="5D9B3D9F"/>
    <w:rsid w:val="5DD14279"/>
    <w:rsid w:val="5E6D131D"/>
    <w:rsid w:val="5E727240"/>
    <w:rsid w:val="5F980362"/>
    <w:rsid w:val="60BC2D41"/>
    <w:rsid w:val="61061B69"/>
    <w:rsid w:val="61343606"/>
    <w:rsid w:val="617807C7"/>
    <w:rsid w:val="61CA3976"/>
    <w:rsid w:val="634136E6"/>
    <w:rsid w:val="63754E3A"/>
    <w:rsid w:val="646002BB"/>
    <w:rsid w:val="646060BC"/>
    <w:rsid w:val="64A742B2"/>
    <w:rsid w:val="65AE59DE"/>
    <w:rsid w:val="66245261"/>
    <w:rsid w:val="66AE7C33"/>
    <w:rsid w:val="66DC2BCD"/>
    <w:rsid w:val="674E548A"/>
    <w:rsid w:val="67924897"/>
    <w:rsid w:val="67D5211A"/>
    <w:rsid w:val="689A54AC"/>
    <w:rsid w:val="69F72510"/>
    <w:rsid w:val="6A0C0251"/>
    <w:rsid w:val="6A765DB5"/>
    <w:rsid w:val="6BA718AC"/>
    <w:rsid w:val="6C0B19A4"/>
    <w:rsid w:val="6C666798"/>
    <w:rsid w:val="6C7A7686"/>
    <w:rsid w:val="6C853499"/>
    <w:rsid w:val="6CAA5C57"/>
    <w:rsid w:val="6CC1587C"/>
    <w:rsid w:val="6DA170E8"/>
    <w:rsid w:val="6EA87C9B"/>
    <w:rsid w:val="6FE70627"/>
    <w:rsid w:val="703A6DAC"/>
    <w:rsid w:val="71DA42DA"/>
    <w:rsid w:val="736949E6"/>
    <w:rsid w:val="73AD3BD2"/>
    <w:rsid w:val="74F00982"/>
    <w:rsid w:val="7544443B"/>
    <w:rsid w:val="758323C9"/>
    <w:rsid w:val="75DE12C9"/>
    <w:rsid w:val="7668404E"/>
    <w:rsid w:val="775D0EF9"/>
    <w:rsid w:val="77804B1B"/>
    <w:rsid w:val="77D24925"/>
    <w:rsid w:val="78846947"/>
    <w:rsid w:val="79504D96"/>
    <w:rsid w:val="7A0A340E"/>
    <w:rsid w:val="7B1D660B"/>
    <w:rsid w:val="7B3959AD"/>
    <w:rsid w:val="7B3F45C1"/>
    <w:rsid w:val="7B484ED1"/>
    <w:rsid w:val="7C9E5802"/>
    <w:rsid w:val="7D1A7DDF"/>
    <w:rsid w:val="7D424687"/>
    <w:rsid w:val="7D6C76E3"/>
    <w:rsid w:val="7EA313D0"/>
    <w:rsid w:val="7F623D8C"/>
    <w:rsid w:val="7F764C2B"/>
    <w:rsid w:val="7FEC5E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unhideWhenUsed/>
    <w:qFormat/>
    <w:uiPriority w:val="99"/>
    <w:pPr>
      <w:spacing w:before="100" w:beforeAutospacing="1" w:after="100" w:afterAutospacing="1"/>
    </w:pPr>
    <w:rPr>
      <w:sz w:val="24"/>
      <w:szCs w:val="24"/>
      <w:lang w:val="en-US"/>
    </w:rPr>
  </w:style>
  <w:style w:type="paragraph" w:styleId="14">
    <w:name w:val="index 1"/>
    <w:basedOn w:val="1"/>
    <w:next w:val="1"/>
    <w:semiHidden/>
    <w:qFormat/>
    <w:uiPriority w:val="0"/>
    <w:pPr>
      <w:keepLines/>
    </w:pPr>
  </w:style>
  <w:style w:type="character" w:styleId="17">
    <w:name w:val="Strong"/>
    <w:basedOn w:val="16"/>
    <w:qFormat/>
    <w:uiPriority w:val="0"/>
    <w:rPr>
      <w:b/>
    </w:rPr>
  </w:style>
  <w:style w:type="character" w:styleId="18">
    <w:name w:val="page number"/>
    <w:basedOn w:val="16"/>
    <w:qFormat/>
    <w:uiPriority w:val="0"/>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Revision"/>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1137</Words>
  <Characters>6396</Characters>
  <Lines>53</Lines>
  <Paragraphs>15</Paragraphs>
  <TotalTime>10</TotalTime>
  <ScaleCrop>false</ScaleCrop>
  <LinksUpToDate>false</LinksUpToDate>
  <CharactersWithSpaces>7518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dsx</cp:lastModifiedBy>
  <cp:lastPrinted>2001-04-23T09:30:00Z</cp:lastPrinted>
  <dcterms:modified xsi:type="dcterms:W3CDTF">2024-02-16T14:50:54Z</dcterms:modified>
  <dc:title>Source: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EC68EAEA781B4E75A44BD95FD1952340</vt:lpwstr>
  </property>
</Properties>
</file>